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kvalité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Östra Luspenåivve i Arvidsjaurs kommun</w:t>
      </w:r>
    </w:p>
    <w:p>
      <w:r>
        <w:t>Detta dokument behandlar höga naturvärden i avverkningsanmälan Östra Luspenåivve i Arvidsjaurs kommun. Denna avverkningsanmälan inkom 2023-07-27 och omfattar 207,9 ha.</w:t>
      </w:r>
    </w:p>
    <w:p>
      <w:r>
        <w:t>Nedan presenteras fynd av naturvårdsarter och fridlysta arter som gjorts i det avverkningsanmälda området, samt relevanta utdrag ur standarderna för FSC, Chain of Custody, Controlled Wood och PEFC. I BILAGA 1 finns artfakta om fridlysta arter.</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67 naturvårdsarter hittats: urskogsporing (EN), blackticka (VU), doftticka (VU, §8), fläckporing (VU), gräddporing (VU), knärot (VU, §8), lateritticka (VU), smalfotad taggsvamp (VU), tajgataggsvamp (VU), blanksvart spiklav (NT), blå taggsvamp (NT), blågrå svartspik (NT), doftskinn (NT), dvärgbägarlav (NT), gammelgransskål (NT), garnlav (NT), granticka (NT), gränsticka (NT), grå blåbärsfältmätare (NT), hornvaxskinn (NT), järpe (NT, §4), knottrig blåslav (NT), kolflarnlav (NT), kortskaftad ärgspik (NT), kådvaxskinn (NT), liten svartspik (NT), luddfingersvamp (NT), lunglav (NT), mörk kolflarnlav (NT), nordtagging (NT), orange taggsvamp (NT), rosenticka (NT), spillkråka (NT, §4), svart taggsvamp (NT), tallticka (NT), talltita (NT, §4), tretåig hackspett (NT, §4), ullticka (NT), vaddporing (NT), vedflamlav (NT), vedskivlav (NT), vedtrappmossa (NT), violmussling (NT), vitgrynig nållav (NT), vitplätt (NT), blodticka (S), bårdlav (S), dropptaggsvamp (S), källpraktmossa (S), luddlav (S), norrlandslav (S), nästlav (S), plattlummer (S, §9), skarp dropptaggsvamp (S), skinnlav (S), sotlav (S), spindelblomster (S, §8), stuplav (S), vedticka (S), vågbandad barkbock (S), ögonpyrola (S), kungsfågel (§4), lavskrika (§4), tjäder (§4), vanlig groda (§6), fläcknycklar (§8) och revlummer (§9). Av dessa är 45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185407"/>
            <wp:docPr id="1" name="Picture 1"/>
            <wp:cNvGraphicFramePr>
              <a:graphicFrameLocks noChangeAspect="1"/>
            </wp:cNvGraphicFramePr>
            <a:graphic>
              <a:graphicData uri="http://schemas.openxmlformats.org/drawingml/2006/picture">
                <pic:pic>
                  <pic:nvPicPr>
                    <pic:cNvPr id="0" name="Östra Luspenåivve karta.png"/>
                    <pic:cNvPicPr/>
                  </pic:nvPicPr>
                  <pic:blipFill>
                    <a:blip r:embed="rId16"/>
                    <a:stretch>
                      <a:fillRect/>
                    </a:stretch>
                  </pic:blipFill>
                  <pic:spPr>
                    <a:xfrm>
                      <a:off x="0" y="0"/>
                      <a:ext cx="5486400" cy="418540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7274230, E 704000 i SWEREF 99 TM.</w:t>
      </w:r>
    </w:p>
    <w:p>
      <w:pPr>
        <w:pStyle w:val="Heading1"/>
      </w:pPr>
      <w:r>
        <w:t>Fridlysta arter</w:t>
      </w:r>
    </w:p>
    <w:p>
      <w:r>
        <w:t>Följande fridlysta arter har sina livsmiljöer och växtplatser i den avverkningsanmälda skogen: doftticka (VU, §8), knärot (VU, §8), järpe (NT, §4), spillkråka (NT, §4), talltita (NT, §4), tretåig hackspett (NT, §4), plattlummer (S, §9), spindelblomster (S, §8), kungsfågel (§4), lavskrika (§4), tjäder (§4), vanlig groda (§6), fläcknycklar (§8) och revlummer (§9).</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Järpe (NT, §4)</w:t>
      </w:r>
      <w:r>
        <w:t xml:space="preserve">, rödlistad som nära hotad och prioriterad art i Skogsvårdslagen har häckningsrevir i avverkningsanmälan. Arten har minskat med 25 (10 - 40) % under de senaste 12 åren och är mycket stationär inom sitt revir som är minst 25 hektar stort. Dess livsmiljöer utgörs av tät barrskog med inblandning av lövträd och en väl utvecklad flerskiktad struktur med bärris och yngre eller undertryckta, täta granar i ett lägre skikt, ofta utmed bäckar och åar inne i den skyddande granskogen. Järpen överlever inte om dess livsmiljö kalavverkas och är även känslig för röjning, gallring och avverkning där unga granar och lövträd inte sparas i tillräcklig omfattning (SLU Artdatabanken, 2022). </w:t>
      </w:r>
    </w:p>
    <w:p>
      <w:r>
        <w:rPr>
          <w:b/>
        </w:rPr>
        <w:t>Knärot (VU, §8)</w:t>
      </w:r>
      <w:r>
        <w:t xml:space="preserve"> är rödlistad som sårbar (VU). För att knärot inte ska ta skada av skogsbruksåtgärder i intilliggande skog krävs buffertzoner på minst 50 meter (Johnson, 2014; Koelmeijer m.fl., 2022; Skogsstyrelsen, 2022). Arten är även känslig för gallring vilket framgår av Skogsstyrelsens egen vägledning för hänsyn till knärot (Skogsstyrelsen, 2022). För rika förekomster av knärot är reservatsbildning eller biotopskydd lämpliga åtgärder för att skydda den (SLU Artdatabanken, 2023).</w:t>
      </w:r>
    </w:p>
    <w:p>
      <w:r>
        <w:t>I det avverkningsanmälda området finns 113 fyndplatser för knärot registrerade på Artportalen. Figur 2 visar gränserna för buffertzoner på 50 m, som behöver lämnas kring fyndplatserna för att knärotslokalerna inte ska försvinna vid en avverkning. Av det avverkningsanmälda området överlappar 32.91 ha med buffertzonerna och får av detta skäl inte avverkas.</w:t>
      </w:r>
    </w:p>
    <w:p>
      <w:pPr>
        <w:pStyle w:val="Caption"/>
      </w:pPr>
      <w:r>
        <w:drawing>
          <wp:inline xmlns:a="http://schemas.openxmlformats.org/drawingml/2006/main" xmlns:pic="http://schemas.openxmlformats.org/drawingml/2006/picture">
            <wp:extent cx="5486400" cy="6664883"/>
            <wp:docPr id="2" name="Picture 2"/>
            <wp:cNvGraphicFramePr>
              <a:graphicFrameLocks noChangeAspect="1"/>
            </wp:cNvGraphicFramePr>
            <a:graphic>
              <a:graphicData uri="http://schemas.openxmlformats.org/drawingml/2006/picture">
                <pic:pic>
                  <pic:nvPicPr>
                    <pic:cNvPr id="0" name="Östra Luspenåivve karta knärot.png"/>
                    <pic:cNvPicPr/>
                  </pic:nvPicPr>
                  <pic:blipFill>
                    <a:blip r:embed="rId17"/>
                    <a:stretch>
                      <a:fillRect/>
                    </a:stretch>
                  </pic:blipFill>
                  <pic:spPr>
                    <a:xfrm>
                      <a:off x="0" y="0"/>
                      <a:ext cx="5486400" cy="6664883"/>
                    </a:xfrm>
                    <a:prstGeom prst="rect"/>
                  </pic:spPr>
                </pic:pic>
              </a:graphicData>
            </a:graphic>
          </wp:inline>
        </w:drawing>
      </w:r>
    </w:p>
    <w:p>
      <w:pPr>
        <w:pStyle w:val="Caption"/>
      </w:pPr>
      <w:r>
        <w:t>Figur 2. Fyndplatser och buffertzoner för knärot i det avverkningsanmälda området. Endast fyndplaster vars buffertzoner överlappar med det avverkningsanmälda området har tagits med i visualiseringen. Kartans mittpunktskoordinat är N 7274230, E 704000 i SWEREF 99 TM.</w:t>
      </w:r>
    </w:p>
    <w:p>
      <w:pPr>
        <w:pStyle w:val="Caption"/>
      </w:pP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(Skogsstyrelsen, 2016).</w:t>
      </w:r>
    </w:p>
    <w:p>
      <w:r>
        <w:t>I BILAGA 1 finns mer detaljerad information om ekologi samt krav på livsmiljö hos fridlysta arter.</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6.4.1 </w:t>
      </w:r>
      <w:r>
        <w:t>Följande biotoper undantas från alla skogsbruksåtgärder, förutom åtgärder påkallade för att bevara eller främja biotopens naturliga eller hävdbetingade biologiska mångfald:</w:t>
      </w:r>
    </w:p>
    <w:p>
      <w:pPr>
        <w:ind w:left="357"/>
      </w:pPr>
      <w:r>
        <w:t>b) nyckelbiotoper enligt Skogsstyrelsens definition och metod (1995)</w:t>
      </w:r>
    </w:p>
    <w:p>
      <w:pPr>
        <w:pStyle w:val="ListBullet"/>
      </w:pPr>
      <w:r>
        <w:rPr>
          <w:b/>
          <w:i/>
        </w:rPr>
        <w:t xml:space="preserve">Kommentar: </w:t>
      </w:r>
      <w:r>
        <w:rPr>
          <w:i/>
        </w:rPr>
        <w:t>I det avverkningsanmälda skogsområdet har 61 rödlistade arter och signalarter påträffats. Detta ska jämföras med Skogsstyrelsens uppföljning 2017 av nyckelbiotoper som visade att man i genomsnitt hittar 20,6 olika rödlistade arter och signalarter i en nyckelbiotop (Wijk, S. 2017. Biologisk mångfald i nyckelbiotoper – Resultat från inventeringen ”Uppföljning biologisk mångfald” 2009-2015. Rapport 4/2017 Skogsstyrelsen, Jönköping).</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67 naturvårdsarter varav 45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Järpe – ekologi samt krav på livsmiljön</w:t>
      </w:r>
    </w:p>
    <w:p>
      <w:r>
        <w:t>Järpe är rödlistad som nära hotad (NT), fridlyst enligt 4§ Artskyddsförordningen och prioriterad art i Skogsvårdslagen. Järpen, som minskat med 25 (10 - 40) % under de senaste 12 åren, har sina livsmiljöer i tät barrskog med inblandning av lövträd och en väl utvecklad flerskiktad struktur med bärris och yngre eller undertryckta, täta granar i ett lägre skikt, ofta utmed bäckar och åar inne i den skyddande granskogen. Arten behöver lämpliga skogsbestånd om sammanlagt minst 25 hektar. Den är mycket stationär inom sitt revir och när ett par etablerat sig stannar de så länge miljön är intakt. Den undviker öppen mark och förﬂyttar sig sällan över större öppna myrar eller åkermark, och är därför känslig för fragmentering. Järpen överlever inte om dess livsmiljö kalavverkas och är även känslig för röjning, gallring och avverkning där unga granar och lövträd inte sparas i tillräcklig omfattning (SLU Artdatabanken, 2022).</w:t>
      </w:r>
    </w:p>
    <w:p>
      <w:pPr>
        <w:pStyle w:val="Heading2"/>
      </w:pPr>
      <w:r>
        <w:t>Referenser - järpe</w:t>
      </w:r>
    </w:p>
    <w:p>
      <w:r>
        <w:t xml:space="preserve">SLU Artdatabanken, 2022. </w:t>
      </w:r>
      <w:r>
        <w:rPr>
          <w:i/>
        </w:rPr>
        <w:t xml:space="preserve">Artfaktablad. Naturvård – artfakta. </w:t>
      </w:r>
      <w:r>
        <w:t>SLU Artdatabanken, Uppsala</w:t>
      </w:r>
    </w:p>
    <w:p>
      <w:pPr>
        <w:pStyle w:val="Heading1"/>
      </w:pPr>
      <w:r>
        <w:t>Knärot – ekologi samt krav på livsmiljön</w:t>
      </w:r>
    </w:p>
    <w:p>
      <w:r>
        <w:t>Knärot är fridlyst enligt 8 och 15 §§ artskyddsförordningen och klassad som sårbar (VU) enligt rödlistan 2020. Knärot är beroende av hög och jämn luftfuktighet i gamla, ostörda skogsmiljöer och är känslig för snabba förändringar av ljus-/vindförhållanden eller uttorkning. På grund av ett alltför intensivt skogsbruk har den minskat med 40 (25-50) % under de senaste 60 åren och i framtiden bedöms minskningstakten uppgå till 30 (20-40) %. Till följd av att arten har en dokumenterat högre minskningstakt iförhållande till sin generationstid än vad som tidigare varit känt (data från Riksskogstaxeringen) höjdes den till hotkategori sårbar (VU) i rödlistan 2020 (Artdatabanken, 2021).</w:t>
      </w:r>
    </w:p>
    <w:p>
      <w:r>
        <w:t xml:space="preserve">Samuel Johnsons doktorsavhandling </w:t>
      </w:r>
      <w:r>
        <w:rPr>
          <w:i/>
        </w:rPr>
        <w:t>“Retention Forestry as a Conservation Measure for Boreal Forest Ground Vegetation“</w:t>
      </w:r>
      <w:r>
        <w:t xml:space="preserve"> (SLU, Uppsala 2014) visar att det krävs väl tilltagna skyddszoner för att knärotens växtplatser inte ska ta skada av skogsbruksåtgärder i intilliggande områden: </w:t>
      </w:r>
      <w:r>
        <w:rPr>
          <w:i/>
        </w:rPr>
        <w:t xml:space="preserve">“Study III shows that retention patches smaller than 0.5 ha do not lifeboat the sensitive forest herb G. repens, a species that depend on stable microclimatic conditions typical for intact forest stands.” </w:t>
      </w:r>
      <w:r>
        <w:t xml:space="preserve">Vidare </w:t>
      </w:r>
      <w:r>
        <w:rPr>
          <w:i/>
        </w:rPr>
        <w:t>“More sensitive forest species are not lifeboated in retention patches ranging from 0.05 to 0.5 ha (Papers II &amp; III).”</w:t>
      </w:r>
    </w:p>
    <w:p>
      <w:r>
        <w:t xml:space="preserve">Johnsons (2014) rekommendation på minst 50 meters breda skyddszoner runt knärotens växtplatser motsvarar en areal på 0,78 hektar, vilket ligger i linje med andra studier som gjorts på känsliga skogsarter: </w:t>
      </w:r>
      <w:r>
        <w:rPr>
          <w:i/>
        </w:rPr>
        <w:t>“In study III I also show that translocated specimens of G. repens survives well in mature forests at least 50 m from the nearest edge to an open area. Moreover, measures of temperature and humidity show that such distances from an open area is far enough to offer a microclimate that is more stable compared to what present in retention patches of around 0.1 ha. This means that the very centre of a circular patch with radius 50 m (equals a size of 0.78 ha) should offer conditions similar to interior forest and would perhaps be a suitable habitat for G. repens and similar species. Previous studies from both North America and Sweden have also concluded that patches between 0.5 and one ha are sufficient for preserving interior forest vegetation as well as sensitive lichens and bryophytes (de Graaf &amp; Roberts 2009; Halpern et al. 2012; Rudolphi et al. 2014).”</w:t>
      </w:r>
    </w:p>
    <w:p>
      <w:r>
        <w:t>En nyligen publicerad vetenskaplig uppsats av Koelmeijer m.fl. (2022) inkluderar orkidén knärots skyddsbehov. I uppsatsen berörs problemet med uttorkning för växter, bl.a. för knärot, ett problem som blivit accentuerat på grund av den pågående klimatförändringen och torra somrar, t.ex. den exceptionellt torra sommaren 2018. I uppsatsen undersöks områden med tre olika avstånd från kalhyggeskant med avseende på skydd bl.a. för knärot. Det första området har avstånd upp till 20 m från hyggeskant (Strong edge effect), det andra 20 – 40 m från hyggeskant (Weak edge effect) och det tredje avser större avstånd från hyggeskant, där kanteffekten anses vara försumbar (Interior). Ett resultat var att man fann stor eller mycket stor uttorkningseffekt på känsliga och rödlistade skogsarter vid de kortare avstånden till hyggeskant, medan effekt av uttorkning inte konstaterades på större avstånd (Interior). För orkidén knärot fann man en rik förekomst (upp till 0,06 dm2/m2) på stort avstånd från hyggeskant (Interior), medan förekomsten var liten eller närmast försumbar i de områden som klassificerades som Weak edge effect respektive Strong edge effect. Arbetet påpekar att de allt oftare förekommande torra somrarna ger ytterligare skäl att utöka skyddsavståndet från hyggen till den fuktkrävande arten knärot (Koelmeijer m.fl., 2022).</w:t>
      </w:r>
    </w:p>
    <w:p>
      <w:r>
        <w:t>Även Skogsstyrelsens egen vägledning för hänsyn till knärot ligger i linje med ovanstående forskningsstudier. Av vägledningen framgår det att för med hög sannolikhet kunna bevara befintliga förekomster krävs relativt stora avsättningar av uppvuxen skog med slutet och relativt tätt kronskikt. Som riktlinje kan krävas ett avstånd på 50 meter in från brynet för att vidmakthålla ett fungerande mikroklimat. Detta innebär att fristående hänsynsytor för många arter (kärlväxter, lavar och mossor) kan behöva ha en area överstigande 0,8 hektar (cirkelyta med radien 50 meter = 0,78 hektar) för att bibehålla lokalklimatet. Även ganska små förändringar i form av förändrade ljus- och fuktighetsförhållanden, till exempel till följd av gallring, kan leda till att arten försvinner till följd av konkurrens med mera ljuskrävande och snabbväxande arter (Skogsstyrelsen, 2022).</w:t>
      </w:r>
    </w:p>
    <w:p>
      <w:pPr>
        <w:pStyle w:val="Heading2"/>
      </w:pPr>
      <w:r>
        <w:t>Referenser - knärot</w:t>
      </w:r>
    </w:p>
    <w:p>
      <w:r>
        <w:t xml:space="preserve">de Graaf M &amp; Roberts M.R., 2009. </w:t>
      </w:r>
      <w:r>
        <w:rPr>
          <w:i/>
        </w:rPr>
        <w:t xml:space="preserve">Short-term response of the herbaceous layer within leave patches after harvest. </w:t>
      </w:r>
      <w:r>
        <w:t>Forest Ecology and Management 257, 1014-1025</w:t>
      </w:r>
    </w:p>
    <w:p>
      <w:r>
        <w:t xml:space="preserve">Halpern, C. B., Halaj, J., Evans, S. A., &amp; Dovciak, M., 2012. </w:t>
      </w:r>
      <w:r>
        <w:rPr>
          <w:i/>
        </w:rPr>
        <w:t xml:space="preserve">Level and pattern of overstory retention interact to shape long-term responses of understories to timber harvest. </w:t>
      </w:r>
      <w:r>
        <w:t xml:space="preserve">Ecological Applications, 22, 2049-2064 </w:t>
      </w:r>
    </w:p>
    <w:p>
      <w:r>
        <w:t xml:space="preserve">Koelmeijer, I. A., Ehrlén, J., Jönsson, M., De Frenne, P., Berg, P., Andersson, J., Weibull, H. &amp; Hylander, N. 2022. </w:t>
      </w:r>
      <w:r>
        <w:rPr>
          <w:i/>
        </w:rPr>
        <w:t xml:space="preserve">Interactive effects of drought and edge exposure on old-growth forest understory species. </w:t>
      </w:r>
      <w:r>
        <w:t>Landscape Ecology, 37, sid 1839-1853</w:t>
      </w:r>
    </w:p>
    <w:p>
      <w:r>
        <w:t xml:space="preserve">Rudolphi, J., Jönsson, M. T., &amp; Gustafsson, L., 2014. </w:t>
      </w:r>
      <w:r>
        <w:rPr>
          <w:i/>
        </w:rPr>
        <w:t xml:space="preserve">Biological legacies buffer local species extinction after logging. </w:t>
      </w:r>
      <w:r>
        <w:t>Journal of Applied Ecology. 51, 53-62.</w:t>
      </w:r>
    </w:p>
    <w:p>
      <w:r>
        <w:t xml:space="preserve">Skogsstyrelsen, 2022. </w:t>
      </w:r>
      <w:r>
        <w:rPr>
          <w:i/>
        </w:rPr>
        <w:t xml:space="preserve">Vägledning för hänsyn till knärot. </w:t>
      </w:r>
      <w:r>
        <w:t>https://www.skogsstyrelsen.se/lag-och-tillsyn/artskydd/vagledningar-och-kunskapsstod-artskydd/vagledning-for-hansyn-till-knarot/</w:t>
      </w:r>
    </w:p>
    <w:p>
      <w:r>
        <w:t xml:space="preserve">SLU Artdatabanken, 2021. </w:t>
      </w:r>
      <w:r>
        <w:rPr>
          <w:i/>
        </w:rPr>
        <w:t xml:space="preserve">Artfaktablad. Naturvård – artfakta. </w:t>
      </w:r>
      <w:r>
        <w:t xml:space="preserve">SLU Artdatabanken, Uppsala </w:t>
      </w:r>
    </w:p>
    <w:p>
      <w:pPr>
        <w:pStyle w:val="Heading1"/>
      </w:pPr>
      <w:r>
        <w:t>Spillkråka – ekologi samt krav på livsmiljön</w:t>
      </w:r>
    </w:p>
    <w:p>
      <w:r>
        <w:t>Spillkråka (NT) är rödlistad som nära hotad, fridlyst enligt §4 Artskyddsförordningen och ingår i bilaga 1 i EU:s fågeldirektiv. Spillkråka lever i både barr- och blandskog liksom i ren lövskog. De tätaste populationerna tenderar att finnas i äldre, variationsrik blandskog med gott om död ved och gamla träd. Varje par utnyttjar 400-1 000 hektar skog beroende på skogens kvalitet. En minskning av populationen pågår på grund av minskad tillgång på lämpliga bo- och födoträd och minskad födotillgång. Spillkråkans minskningstakt har uppgått till 19 (24-10) % under de senaste 15 åren. Skogsbruk med korta omloppstider och täta, homogena ungskogar utgör det största hotet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p>
      <w:pPr>
        <w:pStyle w:val="Heading1"/>
      </w:pPr>
      <w:r>
        <w:t>Tjäder – ekologi samt krav på livsmiljön</w:t>
      </w:r>
    </w:p>
    <w:p>
      <w:r>
        <w:t xml:space="preserve">Tjäder (§4) är en utpräglad skogsfågel knuten till större sammanhängande barrskogsområden. Tupparna och hönorna utnyttjar till viss del olika miljöer, och   habitatvalet varierar dessutom mellan olika delar av året. För att det ska finnas livskraftiga tjäderbestånd krävs funktionella skogslandskap med en blandning av uppvuxen, gles och luckig skog, täta sumpskogar, myrar och andra små våtmarker. Arten försvinner när skogen fragmenteras och den sammanlagda arealen hyggen och andra öppna områden blir för stor. Ett småskaligt och försiktigt virkesuttag genom hyggesfria metoder kan i vissa fall vara möjligt i området inom 200 m från lekcentrum. Längre ut från lekcentrum, inom 200–500 m bör den avverkade ytan inte överskrida 1 hektar för att undvika alltför stora och snabba förändringar. </w:t>
      </w:r>
    </w:p>
    <w:p>
      <w:pPr>
        <w:pStyle w:val="Heading2"/>
      </w:pPr>
      <w:r>
        <w:t>Referenser - tjäder</w:t>
      </w:r>
    </w:p>
    <w:p>
      <w:r>
        <w:t xml:space="preserve">Skogsstyrelsen, 2019. </w:t>
      </w:r>
      <w:r>
        <w:rPr>
          <w:i/>
        </w:rPr>
        <w:t xml:space="preserve">Vägledning för hänsyn till fåglar – tjäder. </w:t>
      </w:r>
      <w:r>
        <w:t>https://www.skogsstyrelsen.se/globalassets/lag-och-tillsyn/artskydd/vagledningar-for-hansyn-till-faglar/tjader-vagledning-hansyn2.pdf</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2024-07-25</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 Id="rId17"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